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D6" w:rsidRPr="000C29DB" w:rsidRDefault="000446D6" w:rsidP="000446D6">
      <w:pPr>
        <w:spacing w:after="0" w:line="240" w:lineRule="auto"/>
        <w:jc w:val="center"/>
        <w:rPr>
          <w:rFonts w:ascii="Georgia" w:eastAsia="Times New Roman" w:hAnsi="Georgia" w:cstheme="majorBidi"/>
          <w:b/>
          <w:bCs/>
          <w:sz w:val="24"/>
          <w:szCs w:val="24"/>
          <w:lang w:val="fr-FR" w:eastAsia="fr-FR"/>
        </w:rPr>
      </w:pPr>
      <w:bookmarkStart w:id="0" w:name="_GoBack"/>
      <w:r w:rsidRPr="000C29DB">
        <w:rPr>
          <w:rFonts w:ascii="Georgia" w:eastAsia="Times New Roman" w:hAnsi="Georgia" w:cstheme="majorBidi"/>
          <w:b/>
          <w:bCs/>
          <w:sz w:val="24"/>
          <w:szCs w:val="24"/>
          <w:lang w:val="fr-FR" w:eastAsia="fr-FR"/>
        </w:rPr>
        <w:t>Université An-Najah</w:t>
      </w:r>
    </w:p>
    <w:p w:rsidR="000446D6" w:rsidRPr="000C29DB" w:rsidRDefault="000446D6" w:rsidP="000446D6">
      <w:pPr>
        <w:spacing w:after="0" w:line="240" w:lineRule="auto"/>
        <w:jc w:val="center"/>
        <w:rPr>
          <w:rFonts w:ascii="Georgia" w:eastAsia="Times New Roman" w:hAnsi="Georgia" w:cstheme="majorBidi"/>
          <w:b/>
          <w:bCs/>
          <w:sz w:val="24"/>
          <w:szCs w:val="24"/>
          <w:lang w:val="fr-FR" w:eastAsia="fr-FR"/>
        </w:rPr>
      </w:pPr>
      <w:r w:rsidRPr="000C29DB">
        <w:rPr>
          <w:rFonts w:ascii="Georgia" w:eastAsia="Times New Roman" w:hAnsi="Georgia" w:cstheme="majorBidi"/>
          <w:b/>
          <w:bCs/>
          <w:sz w:val="24"/>
          <w:szCs w:val="24"/>
          <w:lang w:val="fr-FR" w:eastAsia="fr-FR"/>
        </w:rPr>
        <w:t>Faculté de Sciences Humaines – Département de Français</w:t>
      </w:r>
    </w:p>
    <w:tbl>
      <w:tblPr>
        <w:tblStyle w:val="LightGrid-Accent3"/>
        <w:tblpPr w:leftFromText="180" w:rightFromText="180" w:vertAnchor="text" w:horzAnchor="margin" w:tblpXSpec="center" w:tblpY="367"/>
        <w:tblW w:w="9180" w:type="dxa"/>
        <w:tblLook w:val="04A0" w:firstRow="1" w:lastRow="0" w:firstColumn="1" w:lastColumn="0" w:noHBand="0" w:noVBand="1"/>
      </w:tblPr>
      <w:tblGrid>
        <w:gridCol w:w="2808"/>
        <w:gridCol w:w="6372"/>
      </w:tblGrid>
      <w:tr w:rsidR="000446D6" w:rsidRPr="000C29DB" w:rsidTr="002D5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446D6" w:rsidRPr="000C29DB" w:rsidRDefault="000446D6" w:rsidP="000446D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  <w:t>Intitulé du module</w:t>
            </w:r>
          </w:p>
        </w:tc>
        <w:tc>
          <w:tcPr>
            <w:tcW w:w="6372" w:type="dxa"/>
          </w:tcPr>
          <w:p w:rsidR="000446D6" w:rsidRPr="000C29DB" w:rsidRDefault="000446D6" w:rsidP="00682B1E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  <w:t>Compréhension et expression orale</w:t>
            </w:r>
            <w:r w:rsidR="00682B1E" w:rsidRPr="000C29DB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  <w:t xml:space="preserve"> </w:t>
            </w:r>
            <w:r w:rsidRPr="000C29DB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  <w:t>- 10311114</w:t>
            </w:r>
          </w:p>
        </w:tc>
      </w:tr>
      <w:tr w:rsidR="000446D6" w:rsidRPr="000C29DB" w:rsidTr="002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446D6" w:rsidRPr="000C29DB" w:rsidRDefault="000446D6" w:rsidP="000446D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  <w:t>Enseignant</w:t>
            </w:r>
          </w:p>
        </w:tc>
        <w:tc>
          <w:tcPr>
            <w:tcW w:w="6372" w:type="dxa"/>
          </w:tcPr>
          <w:p w:rsidR="000446D6" w:rsidRPr="000C29DB" w:rsidRDefault="000C29DB" w:rsidP="000446D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Bilal SHAFEI  bshafi</w:t>
            </w:r>
            <w:r w:rsidR="00595D9A"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@najah.edu</w:t>
            </w:r>
          </w:p>
        </w:tc>
      </w:tr>
      <w:tr w:rsidR="000446D6" w:rsidRPr="000C29DB" w:rsidTr="002D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446D6" w:rsidRPr="000C29DB" w:rsidRDefault="000446D6" w:rsidP="000446D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  <w:t>Semestre - année</w:t>
            </w:r>
          </w:p>
        </w:tc>
        <w:tc>
          <w:tcPr>
            <w:tcW w:w="6372" w:type="dxa"/>
          </w:tcPr>
          <w:p w:rsidR="000446D6" w:rsidRPr="000C29DB" w:rsidRDefault="000446D6" w:rsidP="000C29DB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Deuxième</w:t>
            </w:r>
            <w:r w:rsidR="00D565A3"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semestre – </w:t>
            </w:r>
            <w:r w:rsidR="00682B1E"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202</w:t>
            </w:r>
            <w:r w:rsidR="000C29DB"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2</w:t>
            </w: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/</w:t>
            </w:r>
            <w:r w:rsidR="00682B1E"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202</w:t>
            </w:r>
            <w:r w:rsidR="000C29DB"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3</w:t>
            </w:r>
          </w:p>
        </w:tc>
      </w:tr>
      <w:tr w:rsidR="000446D6" w:rsidRPr="000C29DB" w:rsidTr="002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446D6" w:rsidRPr="000C29DB" w:rsidRDefault="000446D6" w:rsidP="000446D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  <w:t>Obligatoire- optionnel</w:t>
            </w:r>
          </w:p>
        </w:tc>
        <w:tc>
          <w:tcPr>
            <w:tcW w:w="6372" w:type="dxa"/>
          </w:tcPr>
          <w:p w:rsidR="000446D6" w:rsidRPr="000C29DB" w:rsidRDefault="000446D6" w:rsidP="000446D6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Obligatoire</w:t>
            </w:r>
          </w:p>
        </w:tc>
      </w:tr>
      <w:tr w:rsidR="000446D6" w:rsidRPr="000C29DB" w:rsidTr="002D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446D6" w:rsidRPr="000C29DB" w:rsidRDefault="000446D6" w:rsidP="000446D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  <w:t>Pré-requis</w:t>
            </w:r>
          </w:p>
        </w:tc>
        <w:tc>
          <w:tcPr>
            <w:tcW w:w="6372" w:type="dxa"/>
          </w:tcPr>
          <w:p w:rsidR="000446D6" w:rsidRPr="000C29DB" w:rsidRDefault="00BD4B3B" w:rsidP="002D5A7D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  <w:t>10311111 ou 10311112</w:t>
            </w:r>
          </w:p>
        </w:tc>
      </w:tr>
      <w:tr w:rsidR="000446D6" w:rsidRPr="000C29DB" w:rsidTr="002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446D6" w:rsidRPr="000C29DB" w:rsidRDefault="000446D6" w:rsidP="000446D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  <w:t>Descriptif</w:t>
            </w:r>
          </w:p>
        </w:tc>
        <w:tc>
          <w:tcPr>
            <w:tcW w:w="6372" w:type="dxa"/>
          </w:tcPr>
          <w:p w:rsidR="000446D6" w:rsidRPr="000C29DB" w:rsidRDefault="000446D6" w:rsidP="00666041">
            <w:pPr>
              <w:spacing w:before="100" w:beforeAutospacing="1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Ce module s’adresse aux étudiants de </w:t>
            </w:r>
            <w:r w:rsidR="004601D5"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deuxième</w:t>
            </w: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année </w:t>
            </w:r>
            <w:r w:rsidR="00DB0D70"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de </w:t>
            </w:r>
            <w:r w:rsidR="00666041"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spécialité</w:t>
            </w:r>
            <w:r w:rsidR="00DB0D70"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, </w:t>
            </w: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ayant acquis les bases de la langue française et les prépare à atteindre le niveau A2. Ce cours renforcera les structures élémentaires de la langue pour permettre à l’étudiant de s’exprimer à l’oral et de comprendre des documents sonores en français parlant de situations quotidiennes simples. </w:t>
            </w:r>
          </w:p>
        </w:tc>
      </w:tr>
      <w:tr w:rsidR="000446D6" w:rsidRPr="000C29DB" w:rsidTr="002D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446D6" w:rsidRPr="000C29DB" w:rsidRDefault="000446D6" w:rsidP="000446D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  <w:t>Objectifs du module</w:t>
            </w:r>
          </w:p>
        </w:tc>
        <w:tc>
          <w:tcPr>
            <w:tcW w:w="6372" w:type="dxa"/>
          </w:tcPr>
          <w:p w:rsidR="000446D6" w:rsidRPr="000C29DB" w:rsidRDefault="000446D6" w:rsidP="002D5A7D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Ce module a pour objectif d’entraîner les apprenants à comprendre l’essentiel d’un document sonore et à en tirer les informations essentielles. Ils seront également préparés à entrer dans une interaction orale où l’apprenant devient l’acteur principal. La classe sera un espace social où s’échangent des informations, des expériences et des opinions. Il</w:t>
            </w:r>
            <w:r w:rsidR="00884C5E"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s</w:t>
            </w: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aur</w:t>
            </w:r>
            <w:r w:rsidR="00884C5E"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ont</w:t>
            </w: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acquis les stratégies nécessaires de compréhension et de production pour atteindre le niveau A2 du CECR.</w:t>
            </w:r>
          </w:p>
          <w:p w:rsidR="000446D6" w:rsidRPr="000C29DB" w:rsidRDefault="000446D6" w:rsidP="002D5A7D">
            <w:pPr>
              <w:spacing w:before="100" w:beforeAutospacing="1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Parallèlement, les activités de simulation permettront aux apprenants d’anticiper les situations qu’ils auront à vivre dans des environnements francophones. </w:t>
            </w:r>
          </w:p>
        </w:tc>
      </w:tr>
      <w:tr w:rsidR="000446D6" w:rsidRPr="000C29DB" w:rsidTr="002D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446D6" w:rsidRPr="000C29DB" w:rsidRDefault="000446D6" w:rsidP="000446D6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  <w:t xml:space="preserve">Résultats et </w:t>
            </w:r>
            <w:r w:rsidR="001079F3" w:rsidRPr="000C29DB"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  <w:t xml:space="preserve">competences </w:t>
            </w:r>
            <w:r w:rsidRPr="000C29DB"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  <w:t>attendus</w:t>
            </w:r>
          </w:p>
        </w:tc>
        <w:tc>
          <w:tcPr>
            <w:tcW w:w="6372" w:type="dxa"/>
          </w:tcPr>
          <w:p w:rsidR="000446D6" w:rsidRPr="000C29DB" w:rsidRDefault="000446D6" w:rsidP="006F534D">
            <w:pPr>
              <w:spacing w:before="100" w:beforeAutospacing="1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A la fin de ce module, l’étudiant doit être capable de : </w:t>
            </w:r>
          </w:p>
          <w:p w:rsidR="000446D6" w:rsidRPr="000C29DB" w:rsidRDefault="000446D6" w:rsidP="002D5A7D">
            <w:pPr>
              <w:pStyle w:val="ListParagraph"/>
              <w:numPr>
                <w:ilvl w:val="0"/>
                <w:numId w:val="1"/>
              </w:numPr>
              <w:spacing w:after="100" w:afterAutospacing="1"/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Faire un discours en continu portant sur l’avenir. </w:t>
            </w:r>
          </w:p>
          <w:p w:rsidR="000446D6" w:rsidRPr="000C29DB" w:rsidRDefault="000446D6" w:rsidP="002D5A7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Relater et commenter le contenu d’un bref article de presse. </w:t>
            </w:r>
          </w:p>
          <w:p w:rsidR="000446D6" w:rsidRPr="000C29DB" w:rsidRDefault="000446D6" w:rsidP="002D5A7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Exposer, porter un jugement sur un fait. </w:t>
            </w:r>
          </w:p>
          <w:p w:rsidR="000446D6" w:rsidRPr="000C29DB" w:rsidRDefault="000446D6" w:rsidP="002D5A7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Donner son avis sur un programme de télévision ou de radio. </w:t>
            </w:r>
          </w:p>
          <w:p w:rsidR="000446D6" w:rsidRPr="000C29DB" w:rsidRDefault="000446D6" w:rsidP="002D5A7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Raconter une rencontre, une fête, une histoire drôle, un échec, une réussie, un accident ou un incident. </w:t>
            </w:r>
          </w:p>
          <w:p w:rsidR="000446D6" w:rsidRPr="000C29DB" w:rsidRDefault="000446D6" w:rsidP="002D5A7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Exprimer l’inquiétude, les goûts, l’interdiction, l’autorisation, des propositions, l’accord, le désaccord, la volonté, l’obligation, la confiance, la méfiance.</w:t>
            </w:r>
          </w:p>
          <w:p w:rsidR="000446D6" w:rsidRPr="000C29DB" w:rsidRDefault="00884C5E" w:rsidP="002D5A7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Accuser/défendre, proposer/</w:t>
            </w:r>
            <w:r w:rsidR="000446D6"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refuser/insister, donner des instructions. </w:t>
            </w:r>
          </w:p>
          <w:p w:rsidR="000446D6" w:rsidRPr="000C29DB" w:rsidRDefault="000446D6" w:rsidP="002D5A7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Comprendre ce qu’on dit, dans une conversation simple et quotidienne, si le débit est clair et lent. </w:t>
            </w:r>
          </w:p>
          <w:p w:rsidR="000446D6" w:rsidRPr="000C29DB" w:rsidRDefault="000446D6" w:rsidP="002D5A7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Capter les informations essentielles de court passages enregistrés ayant trait à un sujet courtant et prévisible. </w:t>
            </w:r>
          </w:p>
          <w:p w:rsidR="000446D6" w:rsidRPr="000C29DB" w:rsidRDefault="000446D6" w:rsidP="002D5A7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Saisir l’information essentielle de nouvelles télévisées sur un événement, un accident, etc.</w:t>
            </w:r>
          </w:p>
        </w:tc>
      </w:tr>
    </w:tbl>
    <w:tbl>
      <w:tblPr>
        <w:tblStyle w:val="LightGrid-Accent3"/>
        <w:tblW w:w="9576" w:type="dxa"/>
        <w:tblLayout w:type="fixed"/>
        <w:tblLook w:val="04A0" w:firstRow="1" w:lastRow="0" w:firstColumn="1" w:lastColumn="0" w:noHBand="0" w:noVBand="1"/>
      </w:tblPr>
      <w:tblGrid>
        <w:gridCol w:w="1638"/>
        <w:gridCol w:w="7938"/>
      </w:tblGrid>
      <w:tr w:rsidR="000446D6" w:rsidRPr="000C29DB" w:rsidTr="002A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446D6" w:rsidRPr="000C29DB" w:rsidRDefault="000446D6" w:rsidP="00666041">
            <w:pPr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</w:pPr>
            <w:r w:rsidRPr="000C29DB">
              <w:rPr>
                <w:lang w:val="fr-FR"/>
              </w:rPr>
              <w:lastRenderedPageBreak/>
              <w:br/>
            </w:r>
            <w:r w:rsidRPr="000C29DB"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  <w:t>Références</w:t>
            </w:r>
          </w:p>
          <w:p w:rsidR="000446D6" w:rsidRPr="000C29DB" w:rsidRDefault="000446D6" w:rsidP="00666041">
            <w:pPr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</w:pPr>
          </w:p>
        </w:tc>
        <w:tc>
          <w:tcPr>
            <w:tcW w:w="7938" w:type="dxa"/>
          </w:tcPr>
          <w:p w:rsidR="000446D6" w:rsidRPr="000C29DB" w:rsidRDefault="000446D6" w:rsidP="00285B40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  <w:t xml:space="preserve">Méthode </w:t>
            </w:r>
            <w:r w:rsidR="001079F3" w:rsidRPr="000C29DB">
              <w:rPr>
                <w:rFonts w:asciiTheme="majorBidi" w:eastAsia="Times New Roman" w:hAnsiTheme="majorBidi"/>
                <w:b w:val="0"/>
                <w:bCs w:val="0"/>
                <w:i/>
                <w:iCs/>
                <w:sz w:val="24"/>
                <w:szCs w:val="24"/>
                <w:lang w:val="fr-FR" w:eastAsia="fr-FR"/>
              </w:rPr>
              <w:t>Version Originale</w:t>
            </w:r>
            <w:r w:rsidR="001079F3" w:rsidRPr="000C29DB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  <w:t xml:space="preserve"> </w:t>
            </w:r>
            <w:r w:rsidR="00285B40" w:rsidRPr="000C29DB">
              <w:rPr>
                <w:rFonts w:asciiTheme="majorBidi" w:eastAsia="Times New Roman" w:hAnsiTheme="majorBidi"/>
                <w:b w:val="0"/>
                <w:bCs w:val="0"/>
                <w:i/>
                <w:iCs/>
                <w:sz w:val="24"/>
                <w:szCs w:val="24"/>
                <w:lang w:val="fr-FR" w:eastAsia="fr-FR"/>
              </w:rPr>
              <w:t>2</w:t>
            </w:r>
            <w:r w:rsidR="001079F3" w:rsidRPr="000C29DB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  <w:t xml:space="preserve">, niveau A2 </w:t>
            </w:r>
          </w:p>
          <w:p w:rsidR="001079F3" w:rsidRPr="000C29DB" w:rsidRDefault="001079F3" w:rsidP="00285B40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  <w:t xml:space="preserve">Cahier d’exercice du manuel </w:t>
            </w:r>
            <w:r w:rsidRPr="000C29DB">
              <w:rPr>
                <w:rFonts w:asciiTheme="majorBidi" w:eastAsia="Times New Roman" w:hAnsiTheme="majorBidi"/>
                <w:b w:val="0"/>
                <w:bCs w:val="0"/>
                <w:i/>
                <w:iCs/>
                <w:sz w:val="24"/>
                <w:szCs w:val="24"/>
                <w:lang w:val="fr-FR" w:eastAsia="fr-FR"/>
              </w:rPr>
              <w:t xml:space="preserve">V.O </w:t>
            </w:r>
            <w:r w:rsidR="00285B40" w:rsidRPr="000C29DB">
              <w:rPr>
                <w:rFonts w:asciiTheme="majorBidi" w:eastAsia="Times New Roman" w:hAnsiTheme="majorBidi"/>
                <w:b w:val="0"/>
                <w:bCs w:val="0"/>
                <w:i/>
                <w:iCs/>
                <w:sz w:val="24"/>
                <w:szCs w:val="24"/>
                <w:lang w:val="fr-FR" w:eastAsia="fr-FR"/>
              </w:rPr>
              <w:t>2</w:t>
            </w:r>
            <w:r w:rsidR="00973A31" w:rsidRPr="000C29DB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  <w:t>, A2</w:t>
            </w:r>
          </w:p>
          <w:p w:rsidR="00973A31" w:rsidRPr="000C29DB" w:rsidRDefault="00973A31" w:rsidP="00973A31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  <w:t>Préparation à l’examen du DELF, niveau A2</w:t>
            </w:r>
          </w:p>
          <w:p w:rsidR="001079F3" w:rsidRPr="000C29DB" w:rsidRDefault="001079F3" w:rsidP="001079F3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</w:pPr>
            <w:r w:rsidRPr="000C29DB">
              <w:rPr>
                <w:rFonts w:asciiTheme="majorBidi" w:eastAsia="Times New Roman" w:hAnsiTheme="majorBidi"/>
                <w:sz w:val="24"/>
                <w:szCs w:val="24"/>
                <w:lang w:val="fr-FR" w:eastAsia="fr-FR"/>
              </w:rPr>
              <w:t>Sitographie :</w:t>
            </w:r>
          </w:p>
          <w:p w:rsidR="00973A31" w:rsidRPr="000C29DB" w:rsidRDefault="00FE00FC" w:rsidP="001079F3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</w:pPr>
            <w:hyperlink r:id="rId7" w:history="1">
              <w:r w:rsidR="00973A31" w:rsidRPr="000C29DB">
                <w:rPr>
                  <w:rStyle w:val="Hyperlink"/>
                  <w:rFonts w:asciiTheme="majorBidi" w:eastAsia="Times New Roman" w:hAnsiTheme="majorBidi"/>
                  <w:b w:val="0"/>
                  <w:bCs w:val="0"/>
                  <w:sz w:val="24"/>
                  <w:szCs w:val="24"/>
                  <w:lang w:val="fr-FR" w:eastAsia="fr-FR"/>
                </w:rPr>
                <w:t>https://www.lepointdufle.net/</w:t>
              </w:r>
            </w:hyperlink>
          </w:p>
          <w:p w:rsidR="00973A31" w:rsidRPr="000C29DB" w:rsidRDefault="00FE00FC" w:rsidP="001079F3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</w:pPr>
            <w:hyperlink r:id="rId8" w:history="1">
              <w:r w:rsidR="00973A31" w:rsidRPr="000C29DB">
                <w:rPr>
                  <w:rStyle w:val="Hyperlink"/>
                  <w:rFonts w:asciiTheme="majorBidi" w:eastAsia="Times New Roman" w:hAnsiTheme="majorBidi"/>
                  <w:b w:val="0"/>
                  <w:bCs w:val="0"/>
                  <w:sz w:val="24"/>
                  <w:szCs w:val="24"/>
                  <w:lang w:val="fr-FR" w:eastAsia="fr-FR"/>
                </w:rPr>
                <w:t>https://www.bonjourdefrance.com/</w:t>
              </w:r>
            </w:hyperlink>
          </w:p>
          <w:p w:rsidR="001079F3" w:rsidRPr="000C29DB" w:rsidRDefault="00FE00FC" w:rsidP="002A1E79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lang w:val="fr-FR" w:eastAsia="fr-FR"/>
              </w:rPr>
            </w:pPr>
            <w:hyperlink r:id="rId9" w:history="1">
              <w:r w:rsidR="00973A31" w:rsidRPr="000C29DB">
                <w:rPr>
                  <w:rStyle w:val="Hyperlink"/>
                  <w:rFonts w:asciiTheme="majorBidi" w:eastAsia="Times New Roman" w:hAnsiTheme="majorBidi"/>
                  <w:b w:val="0"/>
                  <w:bCs w:val="0"/>
                  <w:sz w:val="24"/>
                  <w:szCs w:val="24"/>
                  <w:lang w:val="fr-FR" w:eastAsia="fr-FR"/>
                </w:rPr>
                <w:t>http://apprendre.tv5monde.com/</w:t>
              </w:r>
            </w:hyperlink>
          </w:p>
        </w:tc>
      </w:tr>
    </w:tbl>
    <w:p w:rsidR="00625583" w:rsidRPr="000C29DB" w:rsidRDefault="00625583">
      <w:pPr>
        <w:rPr>
          <w:lang w:val="fr-FR"/>
        </w:rPr>
      </w:pPr>
    </w:p>
    <w:p w:rsidR="000B6173" w:rsidRPr="000C29DB" w:rsidRDefault="00625583">
      <w:pPr>
        <w:rPr>
          <w:b/>
          <w:bCs/>
          <w:lang w:val="fr-FR"/>
        </w:rPr>
      </w:pPr>
      <w:r w:rsidRPr="000C29DB">
        <w:rPr>
          <w:rFonts w:asciiTheme="majorBidi" w:eastAsia="Times New Roman" w:hAnsiTheme="majorBidi"/>
          <w:b/>
          <w:bCs/>
          <w:sz w:val="24"/>
          <w:szCs w:val="24"/>
          <w:lang w:val="fr-FR" w:eastAsia="fr-FR"/>
        </w:rPr>
        <w:t>Plan</w:t>
      </w:r>
    </w:p>
    <w:tbl>
      <w:tblPr>
        <w:tblW w:w="95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5615"/>
        <w:gridCol w:w="2628"/>
      </w:tblGrid>
      <w:tr w:rsidR="00014A56" w:rsidRPr="000C29DB" w:rsidTr="00AC6804">
        <w:trPr>
          <w:trHeight w:val="38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6" w:rsidRPr="000C29DB" w:rsidRDefault="00014A56" w:rsidP="00666041">
            <w:pPr>
              <w:spacing w:after="0"/>
              <w:rPr>
                <w:b/>
                <w:bCs/>
                <w:sz w:val="24"/>
                <w:szCs w:val="24"/>
                <w:lang w:val="fr-FR"/>
              </w:rPr>
            </w:pPr>
            <w:r w:rsidRPr="000C29DB">
              <w:rPr>
                <w:b/>
                <w:bCs/>
                <w:sz w:val="24"/>
                <w:szCs w:val="24"/>
                <w:lang w:val="fr-FR"/>
              </w:rPr>
              <w:t>Semaine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6" w:rsidRPr="000C29DB" w:rsidRDefault="00014A56" w:rsidP="00666041">
            <w:pPr>
              <w:spacing w:after="0"/>
              <w:rPr>
                <w:b/>
                <w:bCs/>
                <w:sz w:val="24"/>
                <w:szCs w:val="24"/>
                <w:lang w:val="fr-FR"/>
              </w:rPr>
            </w:pPr>
            <w:r w:rsidRPr="000C29DB">
              <w:rPr>
                <w:b/>
                <w:bCs/>
                <w:sz w:val="24"/>
                <w:szCs w:val="24"/>
                <w:lang w:val="fr-FR"/>
              </w:rPr>
              <w:t>Méthode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6" w:rsidRPr="000C29DB" w:rsidRDefault="00014A56" w:rsidP="00625583">
            <w:pPr>
              <w:spacing w:after="0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0C29DB">
              <w:rPr>
                <w:b/>
                <w:bCs/>
                <w:sz w:val="24"/>
                <w:szCs w:val="24"/>
                <w:lang w:val="fr-FR"/>
              </w:rPr>
              <w:t>CBE : 3 petites tâches</w:t>
            </w:r>
          </w:p>
        </w:tc>
      </w:tr>
      <w:tr w:rsidR="00014A56" w:rsidRPr="000C29DB" w:rsidTr="00AC6804">
        <w:trPr>
          <w:trHeight w:val="102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6" w:rsidRPr="000C29DB" w:rsidRDefault="00014A56" w:rsidP="00666041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1</w:t>
            </w:r>
          </w:p>
          <w:p w:rsidR="00014A56" w:rsidRPr="000C29DB" w:rsidRDefault="00014A56" w:rsidP="00666041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et</w:t>
            </w:r>
          </w:p>
          <w:p w:rsidR="00014A56" w:rsidRPr="000C29DB" w:rsidRDefault="00014A56" w:rsidP="00666041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6" w:rsidRPr="000C29DB" w:rsidRDefault="00014A56" w:rsidP="00A845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Présentation du plan de cours : descriptif, objectifs et compétences à acquérir</w:t>
            </w:r>
          </w:p>
          <w:p w:rsidR="00014A56" w:rsidRPr="000C29DB" w:rsidRDefault="00014A56" w:rsidP="00A845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sa relation avec les langues. Exprimer son point de vue. Exprimer des émotions et des difficultés. Parler des faits. Exprimer une motivation.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6" w:rsidRPr="000C29DB" w:rsidRDefault="00014A56" w:rsidP="00A845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14A56" w:rsidRPr="000C29DB" w:rsidTr="00AC6804">
        <w:trPr>
          <w:trHeight w:val="70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6" w:rsidRPr="000C29DB" w:rsidRDefault="00014A56" w:rsidP="002A1E79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3 et</w:t>
            </w:r>
          </w:p>
          <w:p w:rsidR="00014A56" w:rsidRPr="000C29DB" w:rsidRDefault="00014A56" w:rsidP="00666041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6" w:rsidRPr="000C29DB" w:rsidRDefault="00014A56" w:rsidP="00A845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Décrire un logement et des objets. Faire des comparaisons*. Exprimer des préférences. Nommer des activités quotidiennes.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6" w:rsidRPr="000C29DB" w:rsidRDefault="00014A56" w:rsidP="00A845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14A56" w:rsidRPr="000C29DB" w:rsidTr="00AC6804">
        <w:trPr>
          <w:trHeight w:val="102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6" w:rsidRPr="000C29DB" w:rsidRDefault="00014A56" w:rsidP="00666041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5</w:t>
            </w:r>
          </w:p>
          <w:p w:rsidR="00014A56" w:rsidRPr="000C29DB" w:rsidRDefault="00014A56" w:rsidP="00666041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et</w:t>
            </w:r>
          </w:p>
          <w:p w:rsidR="00014A56" w:rsidRPr="000C29DB" w:rsidRDefault="00014A56" w:rsidP="00666041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6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6" w:rsidRPr="000C29DB" w:rsidRDefault="00014A56" w:rsidP="00A845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sa santé • Décrire des douleurs et des symptômes • Demander et donner des conseils • Donner des instructions • Exprimer son point de vue.</w:t>
            </w:r>
          </w:p>
          <w:p w:rsidR="00014A56" w:rsidRPr="000C29DB" w:rsidRDefault="00014A56" w:rsidP="00AC68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Premier</w:t>
            </w:r>
            <w:r w:rsidRPr="000C29DB">
              <w:rPr>
                <w:b/>
                <w:bCs/>
                <w:lang w:val="fr-FR"/>
              </w:rPr>
              <w:t xml:space="preserve"> partiel (CO /</w:t>
            </w:r>
            <w:r w:rsidR="00AC6804" w:rsidRPr="000C29DB">
              <w:rPr>
                <w:b/>
                <w:bCs/>
                <w:lang w:val="fr-FR"/>
              </w:rPr>
              <w:t>20</w:t>
            </w:r>
            <w:r w:rsidRPr="000C29DB">
              <w:rPr>
                <w:b/>
                <w:bCs/>
                <w:lang w:val="fr-FR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6" w:rsidRPr="000C29DB" w:rsidRDefault="00FF11B9" w:rsidP="00625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Tâche 1 :</w:t>
            </w: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Pub sur un conseil/produit de santé</w:t>
            </w:r>
          </w:p>
          <w:p w:rsidR="00FF11B9" w:rsidRPr="000C29DB" w:rsidRDefault="00FF11B9" w:rsidP="00FF11B9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F11B9" w:rsidRPr="000C29DB" w:rsidTr="00AC6804">
        <w:trPr>
          <w:trHeight w:val="66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B9" w:rsidRPr="000C29DB" w:rsidRDefault="00FF11B9" w:rsidP="002A1E79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7 et</w:t>
            </w:r>
          </w:p>
          <w:p w:rsidR="00FF11B9" w:rsidRPr="000C29DB" w:rsidRDefault="00FF11B9" w:rsidP="00666041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B9" w:rsidRPr="000C29DB" w:rsidRDefault="00FF11B9" w:rsidP="00A845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Situer dans le passé • Décrire des situations du passé et du présent. Émissions de radio.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B9" w:rsidRPr="000C29DB" w:rsidRDefault="00FF11B9" w:rsidP="00625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Tâche 1 :</w:t>
            </w: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orientation</w:t>
            </w:r>
          </w:p>
        </w:tc>
      </w:tr>
      <w:tr w:rsidR="00FF11B9" w:rsidRPr="000C29DB" w:rsidTr="00AC6804">
        <w:trPr>
          <w:trHeight w:val="75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B9" w:rsidRPr="000C29DB" w:rsidRDefault="00FF11B9" w:rsidP="002A1E79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8 et</w:t>
            </w:r>
          </w:p>
          <w:p w:rsidR="00FF11B9" w:rsidRPr="000C29DB" w:rsidRDefault="00FF11B9" w:rsidP="00554619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9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B9" w:rsidRPr="000C29DB" w:rsidRDefault="00FF11B9" w:rsidP="002A1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Poser des questions sur un parcours de vie • Décrire et rapporter des faits et des situations du passé • Raconter des anecdotes • Demander des informations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B9" w:rsidRPr="000C29DB" w:rsidRDefault="00FF11B9" w:rsidP="00625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Tâche 1 :</w:t>
            </w: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passation</w:t>
            </w:r>
            <w:r w:rsidR="00AC6804"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="00AC6804" w:rsidRPr="000C2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/10</w:t>
            </w:r>
          </w:p>
        </w:tc>
      </w:tr>
      <w:tr w:rsidR="00FF11B9" w:rsidRPr="000C29DB" w:rsidTr="00AC6804">
        <w:trPr>
          <w:trHeight w:val="68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B9" w:rsidRPr="000C29DB" w:rsidRDefault="00FF11B9" w:rsidP="002A1E79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9 et</w:t>
            </w:r>
          </w:p>
          <w:p w:rsidR="00FF11B9" w:rsidRPr="000C29DB" w:rsidRDefault="00FF11B9" w:rsidP="00666041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9" w:rsidRPr="000C29DB" w:rsidRDefault="00FF11B9" w:rsidP="00A84558">
            <w:pPr>
              <w:pStyle w:val="2"/>
              <w:spacing w:line="276" w:lineRule="auto"/>
              <w:ind w:left="0"/>
              <w:jc w:val="both"/>
              <w:rPr>
                <w:rFonts w:ascii="Comic Sans MS" w:hAnsi="Comic Sans MS"/>
              </w:rPr>
            </w:pPr>
            <w:r w:rsidRPr="000C29DB">
              <w:rPr>
                <w:rFonts w:eastAsiaTheme="minorEastAsia"/>
                <w:i w:val="0"/>
                <w:iCs w:val="0"/>
                <w:lang w:eastAsia="en-US"/>
              </w:rPr>
              <w:t xml:space="preserve">Faire des prévisions • Parler de l’avenir • Parler de conditions et de conséquences • Exprimer différents degrés de certitude • Parler du temps.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9" w:rsidRPr="000C29DB" w:rsidRDefault="00FF11B9" w:rsidP="003032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Tâche 2 :</w:t>
            </w: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l’avenir de la commune/ </w:t>
            </w:r>
            <w:r w:rsidR="0030329C"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</w:t>
            </w: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pays / </w:t>
            </w:r>
            <w:r w:rsidR="0030329C"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planète</w:t>
            </w:r>
          </w:p>
        </w:tc>
      </w:tr>
      <w:tr w:rsidR="00FF11B9" w:rsidRPr="000C29DB" w:rsidTr="00AC6804">
        <w:trPr>
          <w:trHeight w:val="667"/>
        </w:trPr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9" w:rsidRPr="000C29DB" w:rsidRDefault="00FF11B9" w:rsidP="002A1E79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10 et</w:t>
            </w:r>
          </w:p>
          <w:p w:rsidR="00FF11B9" w:rsidRPr="000C29DB" w:rsidRDefault="00FF11B9" w:rsidP="00666041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11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9" w:rsidRPr="000C29DB" w:rsidRDefault="00FF11B9" w:rsidP="00A84558">
            <w:pPr>
              <w:pStyle w:val="2"/>
              <w:spacing w:line="276" w:lineRule="auto"/>
              <w:ind w:left="0"/>
              <w:jc w:val="both"/>
            </w:pPr>
            <w:r w:rsidRPr="000C29DB">
              <w:rPr>
                <w:rFonts w:eastAsiaTheme="minorEastAsia"/>
                <w:i w:val="0"/>
                <w:iCs w:val="0"/>
                <w:lang w:eastAsia="en-US"/>
              </w:rPr>
              <w:t>Demander un service • Demander l’autorisation • Refuser et accepter • Se justifier. Conversations • Commentaires de dessin.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9" w:rsidRPr="000C29DB" w:rsidRDefault="00FF11B9" w:rsidP="00625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Tâche 2 :</w:t>
            </w: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orientation</w:t>
            </w:r>
          </w:p>
        </w:tc>
      </w:tr>
      <w:tr w:rsidR="00FF11B9" w:rsidRPr="000C29DB" w:rsidTr="00AC6804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9" w:rsidRPr="000C29DB" w:rsidRDefault="00FF11B9" w:rsidP="004A0940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11 ou 12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9" w:rsidRPr="000C29DB" w:rsidRDefault="00FF11B9" w:rsidP="00AC6804">
            <w:pPr>
              <w:spacing w:after="0" w:line="240" w:lineRule="auto"/>
              <w:ind w:left="720"/>
              <w:rPr>
                <w:b/>
                <w:bCs/>
                <w:lang w:val="fr-FR"/>
              </w:rPr>
            </w:pPr>
            <w:r w:rsidRPr="000C2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Deuxième</w:t>
            </w:r>
            <w:r w:rsidRPr="000C29DB">
              <w:rPr>
                <w:b/>
                <w:bCs/>
                <w:lang w:val="fr-FR"/>
              </w:rPr>
              <w:t xml:space="preserve"> partiel EO /</w:t>
            </w:r>
            <w:r w:rsidR="00AC6804" w:rsidRPr="000C29DB">
              <w:rPr>
                <w:b/>
                <w:bCs/>
                <w:lang w:val="fr-FR"/>
              </w:rPr>
              <w:t>15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9" w:rsidRPr="000C29DB" w:rsidRDefault="00FF11B9" w:rsidP="00625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Tâche 2 :</w:t>
            </w: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passation</w:t>
            </w:r>
            <w:r w:rsidR="00AC6804"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="00AC6804" w:rsidRPr="000C2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/10</w:t>
            </w:r>
          </w:p>
        </w:tc>
      </w:tr>
      <w:tr w:rsidR="00FF11B9" w:rsidRPr="000C29DB" w:rsidTr="00AC6804">
        <w:trPr>
          <w:trHeight w:val="133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9" w:rsidRPr="000C29DB" w:rsidRDefault="00FF11B9" w:rsidP="00666041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13</w:t>
            </w:r>
          </w:p>
          <w:p w:rsidR="00FF11B9" w:rsidRPr="000C29DB" w:rsidRDefault="00FF11B9" w:rsidP="00666041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et</w:t>
            </w:r>
          </w:p>
          <w:p w:rsidR="00FF11B9" w:rsidRPr="000C29DB" w:rsidRDefault="00FF11B9" w:rsidP="00666041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14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9" w:rsidRPr="000C29DB" w:rsidRDefault="00FF11B9" w:rsidP="00A84558">
            <w:pPr>
              <w:pStyle w:val="2"/>
              <w:spacing w:line="276" w:lineRule="auto"/>
              <w:ind w:left="0"/>
              <w:jc w:val="both"/>
              <w:rPr>
                <w:rFonts w:eastAsiaTheme="minorEastAsia"/>
                <w:i w:val="0"/>
                <w:iCs w:val="0"/>
                <w:lang w:eastAsia="en-US"/>
              </w:rPr>
            </w:pPr>
            <w:r w:rsidRPr="000C29DB">
              <w:rPr>
                <w:rFonts w:eastAsiaTheme="minorEastAsia"/>
                <w:i w:val="0"/>
                <w:iCs w:val="0"/>
                <w:lang w:eastAsia="en-US"/>
              </w:rPr>
              <w:t xml:space="preserve">Poser des questions en fonction de la situation de communication • Situer des actions dans le temps • Décrire et raconter dans le passé • Situer géographiquement • Exprimer différents degrés de certitude. Messages sur répondeur • Concours radio • Règles du jeu. Le rejet du hiatus. •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9" w:rsidRPr="000C29DB" w:rsidRDefault="00FF11B9" w:rsidP="00625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Tâche 3 :</w:t>
            </w: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sketch</w:t>
            </w:r>
          </w:p>
          <w:p w:rsidR="00625583" w:rsidRPr="000C29DB" w:rsidRDefault="00625583" w:rsidP="00625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Tâche 3 :</w:t>
            </w: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orientation</w:t>
            </w:r>
          </w:p>
        </w:tc>
      </w:tr>
      <w:tr w:rsidR="00625583" w:rsidRPr="000C29DB" w:rsidTr="00AC6804">
        <w:trPr>
          <w:trHeight w:val="34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83" w:rsidRPr="000C29DB" w:rsidRDefault="00625583" w:rsidP="00666041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15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83" w:rsidRPr="000C29DB" w:rsidRDefault="00625583" w:rsidP="00AC680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lang w:val="fr-FR"/>
              </w:rPr>
            </w:pPr>
            <w:r w:rsidRPr="000C29DB">
              <w:rPr>
                <w:b/>
                <w:bCs/>
                <w:lang w:val="fr-FR"/>
              </w:rPr>
              <w:t>Examen final (Expression orale /</w:t>
            </w:r>
            <w:r w:rsidR="00AC6804" w:rsidRPr="000C29DB">
              <w:rPr>
                <w:b/>
                <w:bCs/>
                <w:lang w:val="fr-FR"/>
              </w:rPr>
              <w:t>20</w:t>
            </w:r>
            <w:r w:rsidRPr="000C29DB">
              <w:rPr>
                <w:b/>
                <w:bCs/>
                <w:lang w:val="fr-FR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83" w:rsidRPr="000C29DB" w:rsidRDefault="00625583" w:rsidP="00625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C2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Tâche 3 :</w:t>
            </w:r>
            <w:r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passation</w:t>
            </w:r>
            <w:r w:rsidR="00AC6804" w:rsidRPr="000C29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="00AC6804" w:rsidRPr="000C2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/10</w:t>
            </w:r>
          </w:p>
        </w:tc>
      </w:tr>
      <w:tr w:rsidR="00625583" w:rsidRPr="000C29DB" w:rsidTr="00AC680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83" w:rsidRPr="000C29DB" w:rsidRDefault="00625583" w:rsidP="00666041">
            <w:pPr>
              <w:spacing w:after="0"/>
              <w:rPr>
                <w:lang w:val="fr-FR"/>
              </w:rPr>
            </w:pPr>
            <w:r w:rsidRPr="000C29DB">
              <w:rPr>
                <w:lang w:val="fr-FR"/>
              </w:rPr>
              <w:t>16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83" w:rsidRPr="000C29DB" w:rsidRDefault="00625583" w:rsidP="00AC680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lang w:val="fr-FR"/>
              </w:rPr>
            </w:pPr>
            <w:r w:rsidRPr="000C29DB">
              <w:rPr>
                <w:b/>
                <w:bCs/>
                <w:lang w:val="fr-FR"/>
              </w:rPr>
              <w:t>Examen final (Compréhension orale /</w:t>
            </w:r>
            <w:r w:rsidR="00AC6804" w:rsidRPr="000C29DB">
              <w:rPr>
                <w:b/>
                <w:bCs/>
                <w:lang w:val="fr-FR"/>
              </w:rPr>
              <w:t>15</w:t>
            </w:r>
            <w:r w:rsidRPr="000C29DB">
              <w:rPr>
                <w:b/>
                <w:bCs/>
                <w:lang w:val="fr-FR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83" w:rsidRPr="000C29DB" w:rsidRDefault="00625583" w:rsidP="004A0940">
            <w:pPr>
              <w:spacing w:after="0"/>
              <w:jc w:val="center"/>
              <w:rPr>
                <w:b/>
                <w:bCs/>
                <w:lang w:val="fr-FR"/>
              </w:rPr>
            </w:pPr>
          </w:p>
        </w:tc>
      </w:tr>
      <w:bookmarkEnd w:id="0"/>
    </w:tbl>
    <w:p w:rsidR="000B6173" w:rsidRPr="000C29DB" w:rsidRDefault="000B6173" w:rsidP="002A1E79">
      <w:pPr>
        <w:rPr>
          <w:sz w:val="16"/>
          <w:szCs w:val="16"/>
          <w:lang w:val="fr-FR"/>
        </w:rPr>
      </w:pPr>
    </w:p>
    <w:sectPr w:rsidR="000B6173" w:rsidRPr="000C29DB" w:rsidSect="00625583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FC" w:rsidRDefault="00FE00FC" w:rsidP="000446D6">
      <w:pPr>
        <w:spacing w:after="0" w:line="240" w:lineRule="auto"/>
      </w:pPr>
      <w:r>
        <w:separator/>
      </w:r>
    </w:p>
  </w:endnote>
  <w:endnote w:type="continuationSeparator" w:id="0">
    <w:p w:rsidR="00FE00FC" w:rsidRDefault="00FE00FC" w:rsidP="0004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FC" w:rsidRDefault="00FE00FC" w:rsidP="000446D6">
      <w:pPr>
        <w:spacing w:after="0" w:line="240" w:lineRule="auto"/>
      </w:pPr>
      <w:r>
        <w:separator/>
      </w:r>
    </w:p>
  </w:footnote>
  <w:footnote w:type="continuationSeparator" w:id="0">
    <w:p w:rsidR="00FE00FC" w:rsidRDefault="00FE00FC" w:rsidP="0004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B82"/>
    <w:multiLevelType w:val="hybridMultilevel"/>
    <w:tmpl w:val="596ABCEA"/>
    <w:lvl w:ilvl="0" w:tplc="7AA0C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CEB"/>
    <w:multiLevelType w:val="hybridMultilevel"/>
    <w:tmpl w:val="7994AC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D05041"/>
    <w:multiLevelType w:val="hybridMultilevel"/>
    <w:tmpl w:val="DF684164"/>
    <w:lvl w:ilvl="0" w:tplc="339403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D6"/>
    <w:rsid w:val="00014A56"/>
    <w:rsid w:val="00015451"/>
    <w:rsid w:val="000446D6"/>
    <w:rsid w:val="00067CAA"/>
    <w:rsid w:val="000B6173"/>
    <w:rsid w:val="000C29DB"/>
    <w:rsid w:val="001079F3"/>
    <w:rsid w:val="001137CE"/>
    <w:rsid w:val="00133389"/>
    <w:rsid w:val="001A32D6"/>
    <w:rsid w:val="001B76CB"/>
    <w:rsid w:val="001F3F07"/>
    <w:rsid w:val="0020234B"/>
    <w:rsid w:val="00285B40"/>
    <w:rsid w:val="0028606B"/>
    <w:rsid w:val="002A15D3"/>
    <w:rsid w:val="002A1E79"/>
    <w:rsid w:val="002D5A7D"/>
    <w:rsid w:val="0030329C"/>
    <w:rsid w:val="00406974"/>
    <w:rsid w:val="0044700D"/>
    <w:rsid w:val="004601D5"/>
    <w:rsid w:val="00490F66"/>
    <w:rsid w:val="004A0940"/>
    <w:rsid w:val="004B1F48"/>
    <w:rsid w:val="004B5C8C"/>
    <w:rsid w:val="004F2981"/>
    <w:rsid w:val="00554619"/>
    <w:rsid w:val="00595D9A"/>
    <w:rsid w:val="00625583"/>
    <w:rsid w:val="00666041"/>
    <w:rsid w:val="00682B1E"/>
    <w:rsid w:val="006F534D"/>
    <w:rsid w:val="00704385"/>
    <w:rsid w:val="00731490"/>
    <w:rsid w:val="00761202"/>
    <w:rsid w:val="00762CE0"/>
    <w:rsid w:val="00775D76"/>
    <w:rsid w:val="007B14B1"/>
    <w:rsid w:val="007C7087"/>
    <w:rsid w:val="007D2A72"/>
    <w:rsid w:val="008204A2"/>
    <w:rsid w:val="008220A5"/>
    <w:rsid w:val="00884C5E"/>
    <w:rsid w:val="008D1B2E"/>
    <w:rsid w:val="008E4CCB"/>
    <w:rsid w:val="00932A0D"/>
    <w:rsid w:val="00973A31"/>
    <w:rsid w:val="00A51484"/>
    <w:rsid w:val="00A53B5B"/>
    <w:rsid w:val="00A84558"/>
    <w:rsid w:val="00AC6804"/>
    <w:rsid w:val="00B30852"/>
    <w:rsid w:val="00BD4B3B"/>
    <w:rsid w:val="00C04171"/>
    <w:rsid w:val="00C66540"/>
    <w:rsid w:val="00C8224F"/>
    <w:rsid w:val="00CA70CE"/>
    <w:rsid w:val="00D238FA"/>
    <w:rsid w:val="00D565A3"/>
    <w:rsid w:val="00DB0D70"/>
    <w:rsid w:val="00DE700C"/>
    <w:rsid w:val="00E3280C"/>
    <w:rsid w:val="00E404DC"/>
    <w:rsid w:val="00ED2BE2"/>
    <w:rsid w:val="00FB6B29"/>
    <w:rsid w:val="00FE00FC"/>
    <w:rsid w:val="00FF04F5"/>
    <w:rsid w:val="00FF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AEB3"/>
  <w15:docId w15:val="{2E8E1ECF-2D80-470D-A45E-901336DA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D6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0446D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D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565A3"/>
    <w:rPr>
      <w:color w:val="0000FF" w:themeColor="hyperlink"/>
      <w:u w:val="single"/>
    </w:rPr>
  </w:style>
  <w:style w:type="paragraph" w:customStyle="1" w:styleId="2">
    <w:name w:val="نص أساسي بمسافة بادئة 2"/>
    <w:basedOn w:val="Normal"/>
    <w:rsid w:val="0055461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i/>
      <w:iCs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njourdefra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pointdufl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rendre.tv5mon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Yosra</dc:creator>
  <cp:lastModifiedBy>D.Bilal</cp:lastModifiedBy>
  <cp:revision>2</cp:revision>
  <dcterms:created xsi:type="dcterms:W3CDTF">2023-01-29T10:38:00Z</dcterms:created>
  <dcterms:modified xsi:type="dcterms:W3CDTF">2023-01-29T10:38:00Z</dcterms:modified>
</cp:coreProperties>
</file>